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55DC" w14:textId="7AF5EA88" w:rsidR="007A7E5F" w:rsidRDefault="007A7E5F" w:rsidP="007A7E5F">
      <w:pPr>
        <w:jc w:val="right"/>
        <w:rPr>
          <w:b/>
          <w:bCs/>
        </w:rPr>
      </w:pPr>
      <w:r>
        <w:rPr>
          <w:b/>
          <w:bCs/>
        </w:rPr>
        <w:t>Załącznik nr 1</w:t>
      </w:r>
    </w:p>
    <w:p w14:paraId="44DAA8C7" w14:textId="3702C96E" w:rsidR="000545BC" w:rsidRPr="000545BC" w:rsidRDefault="000545BC" w:rsidP="00B6443B">
      <w:pPr>
        <w:jc w:val="center"/>
        <w:rPr>
          <w:b/>
          <w:bCs/>
        </w:rPr>
      </w:pPr>
      <w:r w:rsidRPr="000545BC">
        <w:rPr>
          <w:b/>
          <w:bCs/>
        </w:rPr>
        <w:t>OPIS PRZEDMIOTU ZAMÓWIENIA</w:t>
      </w:r>
    </w:p>
    <w:p w14:paraId="1389A78C" w14:textId="77777777" w:rsidR="000545BC" w:rsidRPr="000545BC" w:rsidRDefault="000545BC" w:rsidP="000545BC"/>
    <w:p w14:paraId="359250CB" w14:textId="77777777" w:rsidR="00CE11CA" w:rsidRDefault="000545BC" w:rsidP="00CE11CA">
      <w:pPr>
        <w:numPr>
          <w:ilvl w:val="0"/>
          <w:numId w:val="1"/>
        </w:numPr>
        <w:spacing w:after="0"/>
        <w:rPr>
          <w:b/>
          <w:bCs/>
        </w:rPr>
      </w:pPr>
      <w:r w:rsidRPr="000545BC">
        <w:rPr>
          <w:b/>
          <w:bCs/>
        </w:rPr>
        <w:t>Przedmiot zamówienia</w:t>
      </w:r>
    </w:p>
    <w:p w14:paraId="334BE6A8" w14:textId="3D886B8A" w:rsidR="00CE11CA" w:rsidRPr="00CE11CA" w:rsidRDefault="00CE11CA" w:rsidP="00CE11CA">
      <w:pPr>
        <w:ind w:left="284"/>
        <w:rPr>
          <w:b/>
          <w:bCs/>
        </w:rPr>
      </w:pPr>
      <w:r w:rsidRPr="00CE11CA">
        <w:t>Dostawa i montaż lampy UV dla SUW Szaflary.</w:t>
      </w:r>
    </w:p>
    <w:p w14:paraId="58558215" w14:textId="5EB3D053" w:rsidR="00CE11CA" w:rsidRDefault="000545BC" w:rsidP="00CE11CA">
      <w:pPr>
        <w:numPr>
          <w:ilvl w:val="0"/>
          <w:numId w:val="1"/>
        </w:numPr>
        <w:spacing w:after="0"/>
        <w:rPr>
          <w:b/>
          <w:bCs/>
        </w:rPr>
      </w:pPr>
      <w:r w:rsidRPr="000545BC">
        <w:rPr>
          <w:b/>
          <w:bCs/>
        </w:rPr>
        <w:t>Opis przedmiotu zamówienia</w:t>
      </w:r>
    </w:p>
    <w:p w14:paraId="7F732949" w14:textId="6D784BEA" w:rsidR="00EE10A1" w:rsidRPr="00CE11CA" w:rsidRDefault="00026456" w:rsidP="0054445C">
      <w:pPr>
        <w:ind w:left="284"/>
        <w:jc w:val="both"/>
        <w:rPr>
          <w:b/>
          <w:bCs/>
        </w:rPr>
      </w:pPr>
      <w:bookmarkStart w:id="0" w:name="_Hlk224648861"/>
      <w:r>
        <w:t>W</w:t>
      </w:r>
      <w:r w:rsidR="00CE11CA">
        <w:t xml:space="preserve">ykonanie oraz dostawa lampy </w:t>
      </w:r>
      <w:bookmarkEnd w:id="0"/>
      <w:r w:rsidR="00CE11CA">
        <w:t>UV</w:t>
      </w:r>
      <w:r w:rsidR="00CE11CA" w:rsidRPr="000545BC">
        <w:t xml:space="preserve"> </w:t>
      </w:r>
      <w:r w:rsidR="00CE11CA" w:rsidRPr="00082B3F">
        <w:t xml:space="preserve">do dezynfekcji wody w układzie technologicznym SUW Szaflary </w:t>
      </w:r>
      <w:r w:rsidR="00CE11CA">
        <w:t>(</w:t>
      </w:r>
      <w:r w:rsidR="00CE11CA" w:rsidRPr="00082B3F">
        <w:t>zastąpienie obecnie eksploatowanej lampy</w:t>
      </w:r>
      <w:r w:rsidR="00CE11CA">
        <w:t xml:space="preserve"> DUV- 7A 350T</w:t>
      </w:r>
      <w:r w:rsidR="00CE11CA" w:rsidRPr="00082B3F">
        <w:t xml:space="preserve"> LIT Rosja</w:t>
      </w:r>
      <w:r w:rsidR="00CE11CA">
        <w:t xml:space="preserve">). </w:t>
      </w:r>
      <w:r w:rsidR="0080345E">
        <w:t>Urządzenie do odkażania wody dla maksymalnego przepływu wody 150 m</w:t>
      </w:r>
      <w:r w:rsidR="0080345E">
        <w:rPr>
          <w:vertAlign w:val="superscript"/>
        </w:rPr>
        <w:t>3</w:t>
      </w:r>
      <w:r w:rsidR="0080345E">
        <w:t>/h oraz dawki promieniowania e = 400 J/m</w:t>
      </w:r>
      <w:r w:rsidR="0080345E">
        <w:rPr>
          <w:vertAlign w:val="superscript"/>
        </w:rPr>
        <w:t xml:space="preserve">2 </w:t>
      </w:r>
      <w:r w:rsidR="0080345E">
        <w:t xml:space="preserve"> z średnicami króćca wejściowego oraz wyjściowego 250 mm</w:t>
      </w:r>
      <w:r w:rsidR="00CE11CA">
        <w:t>. Montaż lampy UV zostanie wykonany przez pracowników MZWiK.</w:t>
      </w:r>
    </w:p>
    <w:p w14:paraId="565C3B90" w14:textId="4CDA1E7D" w:rsidR="000545BC" w:rsidRPr="0080345E" w:rsidRDefault="000545BC" w:rsidP="00CE11CA">
      <w:pPr>
        <w:pStyle w:val="Akapitzlist"/>
        <w:numPr>
          <w:ilvl w:val="0"/>
          <w:numId w:val="1"/>
        </w:numPr>
        <w:spacing w:after="0"/>
      </w:pPr>
      <w:r w:rsidRPr="00CE11CA">
        <w:rPr>
          <w:b/>
        </w:rPr>
        <w:t>Dane podstawowe</w:t>
      </w:r>
      <w:r w:rsidR="0080345E" w:rsidRPr="00CE11CA">
        <w:rPr>
          <w:b/>
        </w:rPr>
        <w:t xml:space="preserve"> dla urządzenia:</w:t>
      </w:r>
    </w:p>
    <w:p w14:paraId="70D9D25F" w14:textId="77777777" w:rsidR="00EE10A1" w:rsidRPr="00EE10A1" w:rsidRDefault="00EE10A1" w:rsidP="00536131">
      <w:pPr>
        <w:ind w:firstLine="284"/>
      </w:pPr>
      <w:r w:rsidRPr="00EE10A1">
        <w:t>Urządzenie składające się z reaktora UV raz szafy zasilającej posiadające następujące cechy:</w:t>
      </w:r>
    </w:p>
    <w:p w14:paraId="3B76FF68" w14:textId="30EA428C" w:rsidR="00C423A1" w:rsidRDefault="00C423A1" w:rsidP="003562D7">
      <w:pPr>
        <w:numPr>
          <w:ilvl w:val="0"/>
          <w:numId w:val="4"/>
        </w:numPr>
        <w:spacing w:after="0" w:line="240" w:lineRule="auto"/>
      </w:pPr>
      <w:r>
        <w:t>Lampa UV w układzie poziomym</w:t>
      </w:r>
    </w:p>
    <w:p w14:paraId="144C7DCE" w14:textId="2EB32296" w:rsidR="00C423A1" w:rsidRDefault="00C423A1" w:rsidP="003562D7">
      <w:pPr>
        <w:numPr>
          <w:ilvl w:val="0"/>
          <w:numId w:val="4"/>
        </w:numPr>
        <w:spacing w:after="0" w:line="240" w:lineRule="auto"/>
      </w:pPr>
      <w:r>
        <w:t>Maksymalna wysokość lampy 1m (od przyłącza DN 250),</w:t>
      </w:r>
    </w:p>
    <w:p w14:paraId="6F687F85" w14:textId="132988EF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Reaktor wykonany ze stali 316L, polerowany</w:t>
      </w:r>
    </w:p>
    <w:p w14:paraId="16F0F8A5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Ciśnienie pracy 10 bar</w:t>
      </w:r>
    </w:p>
    <w:p w14:paraId="357F9800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Promienniki niskociśnieniowe amalgamatowe o jednostkowej mocy minimalnej 400W</w:t>
      </w:r>
    </w:p>
    <w:p w14:paraId="7AF70B78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 xml:space="preserve">Żywotność promienników 16000h </w:t>
      </w:r>
    </w:p>
    <w:p w14:paraId="727FE1C4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Minimalna całkowita moc urządzenia 1,2 kW</w:t>
      </w:r>
    </w:p>
    <w:p w14:paraId="2F05210D" w14:textId="0E73FFD0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 xml:space="preserve">Reaktor w kształcie litery „U”, przyłącza </w:t>
      </w:r>
      <w:r w:rsidR="00227A0B">
        <w:t xml:space="preserve">kołnierzowe </w:t>
      </w:r>
      <w:r w:rsidRPr="00EE10A1">
        <w:t>DN 2</w:t>
      </w:r>
      <w:r w:rsidR="00536131">
        <w:t>5</w:t>
      </w:r>
      <w:r w:rsidRPr="00EE10A1">
        <w:t>0, rozstaw przyłączy 1550mm od osi do osi</w:t>
      </w:r>
      <w:r w:rsidR="00227A0B">
        <w:t xml:space="preserve">. Na wyjściu z przyłącza króciec kołnierzowy DN 80 </w:t>
      </w:r>
      <w:r w:rsidRPr="00EE10A1">
        <w:t>.</w:t>
      </w:r>
    </w:p>
    <w:p w14:paraId="72D1CB82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Automatyczny mechaniczny system czyszczący rury osłonowe z możliwością ustawiania interwałów czyszczących w sterowniku</w:t>
      </w:r>
    </w:p>
    <w:p w14:paraId="7579279E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Czujnik promieniowania UV zgodny z OVGW</w:t>
      </w:r>
    </w:p>
    <w:p w14:paraId="43F1E018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Czujnik temperatury reaktora UV z funkcją odłączenia urządzenia w przypadku przekroczenia zadanej temperatury wody w reaktorze</w:t>
      </w:r>
    </w:p>
    <w:p w14:paraId="312ED0C3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Manometr w płaszczu reaktora</w:t>
      </w:r>
    </w:p>
    <w:p w14:paraId="6C0B8CB9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Przyłącza 1” pod chemiczny system czyszczący</w:t>
      </w:r>
    </w:p>
    <w:p w14:paraId="122284C7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Szafa zasilająca wyposażona w wyświetlacz z panelem dotykowym wskazującym stany pracy urządzenia, w tym aktualny odczyt intensywności promieniowania UV oraz stan pracy systemu czyszczącego</w:t>
      </w:r>
    </w:p>
    <w:p w14:paraId="514C8B9A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Obraz reaktora UV wraz z sygnalizacją pracy lub awarii poszczególnych promienników przedstawiony na wyświetlaczu sterownika</w:t>
      </w:r>
    </w:p>
    <w:p w14:paraId="00946D76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Menu sterowania w jęz. polskim</w:t>
      </w:r>
    </w:p>
    <w:p w14:paraId="59380B87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Stopień ochrony szafy min. IP54</w:t>
      </w:r>
    </w:p>
    <w:p w14:paraId="561F14B5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Wyjście sygnałowe 4-20mA</w:t>
      </w:r>
    </w:p>
    <w:p w14:paraId="016A40D2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Możliwość zdalnego załączania / wyłączania</w:t>
      </w:r>
    </w:p>
    <w:p w14:paraId="64455C54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Licznik godzin pracy urządzenia</w:t>
      </w:r>
    </w:p>
    <w:p w14:paraId="53F3EA84" w14:textId="09870FE5" w:rsidR="00EE10A1" w:rsidRPr="003562D7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Licznik cykli załączeń /</w:t>
      </w:r>
      <w:r w:rsidR="00B77D51">
        <w:t xml:space="preserve"> </w:t>
      </w:r>
      <w:proofErr w:type="spellStart"/>
      <w:r w:rsidRPr="003562D7">
        <w:t>wyłąc</w:t>
      </w:r>
      <w:r w:rsidR="00CF5A30" w:rsidRPr="003562D7">
        <w:t>z</w:t>
      </w:r>
      <w:r w:rsidR="00B77D51">
        <w:t>eń</w:t>
      </w:r>
      <w:proofErr w:type="spellEnd"/>
    </w:p>
    <w:p w14:paraId="4F78B3C0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Zasilanie urządzenia L/N/PE</w:t>
      </w:r>
    </w:p>
    <w:p w14:paraId="6494B8DF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Temperatura otoczenia pracy 5-40 st. C</w:t>
      </w:r>
    </w:p>
    <w:p w14:paraId="388520F9" w14:textId="77777777" w:rsidR="00EE10A1" w:rsidRP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>Wskaźniki stanu pracy urządzenia (praca normalna, ostrzeżenie, awaria)</w:t>
      </w:r>
    </w:p>
    <w:p w14:paraId="664EC1C1" w14:textId="77777777" w:rsidR="00EE10A1" w:rsidRDefault="00EE10A1" w:rsidP="003562D7">
      <w:pPr>
        <w:numPr>
          <w:ilvl w:val="0"/>
          <w:numId w:val="4"/>
        </w:numPr>
        <w:spacing w:after="0" w:line="240" w:lineRule="auto"/>
      </w:pPr>
      <w:r w:rsidRPr="00EE10A1">
        <w:t xml:space="preserve">Komunikacja </w:t>
      </w:r>
      <w:proofErr w:type="spellStart"/>
      <w:r w:rsidRPr="00EE10A1">
        <w:t>Modbus</w:t>
      </w:r>
      <w:proofErr w:type="spellEnd"/>
      <w:r w:rsidRPr="00EE10A1">
        <w:t xml:space="preserve"> TCP lub RTU</w:t>
      </w:r>
    </w:p>
    <w:p w14:paraId="0E54B380" w14:textId="77777777" w:rsidR="00CE11CA" w:rsidRDefault="00CE11CA" w:rsidP="00CE11CA">
      <w:pPr>
        <w:pStyle w:val="Akapitzlist"/>
        <w:spacing w:after="0" w:line="240" w:lineRule="auto"/>
        <w:ind w:left="1364"/>
        <w:rPr>
          <w:b/>
          <w:bCs/>
        </w:rPr>
      </w:pPr>
    </w:p>
    <w:p w14:paraId="36ACC79E" w14:textId="77777777" w:rsidR="009F2226" w:rsidRDefault="009F2226" w:rsidP="00CE11CA">
      <w:pPr>
        <w:pStyle w:val="Akapitzlist"/>
        <w:spacing w:after="0" w:line="240" w:lineRule="auto"/>
        <w:ind w:left="1364"/>
        <w:rPr>
          <w:b/>
          <w:bCs/>
        </w:rPr>
      </w:pPr>
    </w:p>
    <w:p w14:paraId="58BEC26B" w14:textId="77777777" w:rsidR="009F2226" w:rsidRDefault="009F2226" w:rsidP="00CE11CA">
      <w:pPr>
        <w:pStyle w:val="Akapitzlist"/>
        <w:spacing w:after="0" w:line="240" w:lineRule="auto"/>
        <w:ind w:left="1364"/>
        <w:rPr>
          <w:b/>
          <w:bCs/>
        </w:rPr>
      </w:pPr>
    </w:p>
    <w:p w14:paraId="7D58E7BB" w14:textId="2362549C" w:rsidR="00F6382F" w:rsidRPr="00CE11CA" w:rsidRDefault="00F6382F" w:rsidP="00CE11CA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CE11CA">
        <w:rPr>
          <w:b/>
          <w:bCs/>
        </w:rPr>
        <w:lastRenderedPageBreak/>
        <w:t>Wymagania dla Wykonawcy :</w:t>
      </w:r>
    </w:p>
    <w:p w14:paraId="7FD1BE9C" w14:textId="08947BCD" w:rsidR="00F6382F" w:rsidRPr="0039099A" w:rsidRDefault="00F6382F" w:rsidP="00CE11CA">
      <w:pPr>
        <w:pStyle w:val="Akapitzlist"/>
        <w:autoSpaceDN w:val="0"/>
        <w:adjustRightInd w:val="0"/>
        <w:ind w:left="644"/>
        <w:jc w:val="both"/>
        <w:rPr>
          <w:rFonts w:eastAsia="Tahoma,Bold"/>
        </w:rPr>
      </w:pPr>
      <w:r w:rsidRPr="0039099A">
        <w:rPr>
          <w:rFonts w:eastAsia="Tahoma,Bold"/>
        </w:rPr>
        <w:t>Na podstawie wymaganego zakresu prac Wykonawca jest zobowiązany dołączyć do oferty przetargowej karty katalogowe oferowanych urządzeń UV pod rygorem odrzucenia oferty przy braku ww</w:t>
      </w:r>
      <w:r w:rsidR="0039099A">
        <w:rPr>
          <w:rFonts w:eastAsia="Tahoma,Bold"/>
        </w:rPr>
        <w:t>.</w:t>
      </w:r>
      <w:r w:rsidRPr="0039099A">
        <w:rPr>
          <w:rFonts w:eastAsia="Tahoma,Bold"/>
        </w:rPr>
        <w:t xml:space="preserve"> dokumentów.</w:t>
      </w:r>
      <w:r w:rsidR="0039099A">
        <w:rPr>
          <w:rFonts w:eastAsia="Tahoma,Bold"/>
        </w:rPr>
        <w:t xml:space="preserve"> </w:t>
      </w:r>
      <w:r w:rsidRPr="0039099A">
        <w:rPr>
          <w:rFonts w:eastAsia="Tahoma,Bold"/>
        </w:rPr>
        <w:t>Wykonawca musi posiadać autoryzowany przez producenta serwis na terenie Polski</w:t>
      </w:r>
      <w:r w:rsidR="00CE11CA">
        <w:rPr>
          <w:rFonts w:eastAsia="Tahoma,Bold"/>
        </w:rPr>
        <w:t>. Pierwsze uruchomienie przy obecności dostawcy lampy UV.</w:t>
      </w:r>
    </w:p>
    <w:p w14:paraId="20D7CFE6" w14:textId="77777777" w:rsidR="0039099A" w:rsidRPr="00CE11CA" w:rsidRDefault="0039099A" w:rsidP="00CE11CA">
      <w:pPr>
        <w:spacing w:after="0" w:line="240" w:lineRule="auto"/>
        <w:rPr>
          <w:b/>
          <w:bCs/>
        </w:rPr>
      </w:pPr>
      <w:r>
        <w:tab/>
      </w:r>
      <w:r w:rsidRPr="00CE11CA">
        <w:rPr>
          <w:b/>
          <w:bCs/>
        </w:rPr>
        <w:t>Referencje:</w:t>
      </w:r>
    </w:p>
    <w:p w14:paraId="2B73704C" w14:textId="02F61EA8" w:rsidR="00861DE4" w:rsidRDefault="0039099A" w:rsidP="007A7E5F">
      <w:pPr>
        <w:spacing w:line="240" w:lineRule="auto"/>
        <w:ind w:left="708"/>
        <w:jc w:val="both"/>
      </w:pPr>
      <w:r w:rsidRPr="0039099A">
        <w:t>Zamawiaj</w:t>
      </w:r>
      <w:r>
        <w:t>ą</w:t>
      </w:r>
      <w:r w:rsidRPr="0039099A">
        <w:t xml:space="preserve">cy wymaga, aby wykonawca wykazał, </w:t>
      </w:r>
      <w:r>
        <w:t>że</w:t>
      </w:r>
      <w:r w:rsidRPr="0039099A">
        <w:t xml:space="preserve"> w okresie ostatnich 3 lat przed upływem terminu składania ofert, a j</w:t>
      </w:r>
      <w:r>
        <w:t xml:space="preserve">eżeli </w:t>
      </w:r>
      <w:r w:rsidRPr="0039099A">
        <w:t>okres prowadzenia dział</w:t>
      </w:r>
      <w:r w:rsidR="007A6027">
        <w:t>alności</w:t>
      </w:r>
      <w:r w:rsidRPr="0039099A">
        <w:t xml:space="preserve"> jest krótszy w tym okresie wykonał, co najmniej trzy dostawy na trzy różne obiekty dla przedsiębiorstw wodociągowych na terenie Polski, polega</w:t>
      </w:r>
      <w:r w:rsidR="00727026">
        <w:t>jących</w:t>
      </w:r>
      <w:r w:rsidRPr="0039099A">
        <w:t xml:space="preserve"> na dostawie wraz z mon</w:t>
      </w:r>
      <w:r w:rsidR="00727026">
        <w:t>tażem</w:t>
      </w:r>
      <w:r w:rsidRPr="0039099A">
        <w:t xml:space="preserve"> i wykonaniem rurociągów bocznikowych wraz z niezbędną armaturą i uruchomieniem, systemu dezynfekcji wody promieniami UV wyposażonego w niskociśnieniowe promienniki UV oraz w automatyczny mechaniczny system czyszczący o wyda</w:t>
      </w:r>
      <w:r w:rsidR="00727026">
        <w:t>jności</w:t>
      </w:r>
      <w:r w:rsidRPr="0039099A">
        <w:t xml:space="preserve"> </w:t>
      </w:r>
      <w:r>
        <w:t xml:space="preserve"> </w:t>
      </w:r>
      <w:r w:rsidRPr="0039099A">
        <w:t>ka</w:t>
      </w:r>
      <w:r w:rsidR="00727026">
        <w:t>żdego</w:t>
      </w:r>
      <w:r w:rsidRPr="0039099A">
        <w:t xml:space="preserve"> systemu nie mniejszej ni</w:t>
      </w:r>
      <w:r w:rsidR="00727026">
        <w:t>ż</w:t>
      </w:r>
      <w:r w:rsidRPr="0039099A">
        <w:t xml:space="preserve"> 150 m</w:t>
      </w:r>
      <w:r w:rsidRPr="0039099A">
        <w:rPr>
          <w:vertAlign w:val="superscript"/>
        </w:rPr>
        <w:t>3</w:t>
      </w:r>
      <w:r w:rsidRPr="0039099A">
        <w:t>/h.  Powyższe referencje muszą dotyczyć typoszeregu urządzeń, które są przez Wykonawcę oferowane w niniejszym postępowaniu.</w:t>
      </w:r>
    </w:p>
    <w:sectPr w:rsidR="0086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498C"/>
    <w:multiLevelType w:val="hybridMultilevel"/>
    <w:tmpl w:val="21D0AB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BE6E20"/>
    <w:multiLevelType w:val="hybridMultilevel"/>
    <w:tmpl w:val="1626F410"/>
    <w:lvl w:ilvl="0" w:tplc="04150013">
      <w:start w:val="1"/>
      <w:numFmt w:val="upperRoman"/>
      <w:lvlText w:val="%1."/>
      <w:lvlJc w:val="righ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447B6BFD"/>
    <w:multiLevelType w:val="hybridMultilevel"/>
    <w:tmpl w:val="2B142BFC"/>
    <w:lvl w:ilvl="0" w:tplc="04150013">
      <w:start w:val="1"/>
      <w:numFmt w:val="upperRoman"/>
      <w:lvlText w:val="%1."/>
      <w:lvlJc w:val="right"/>
      <w:pPr>
        <w:ind w:left="3448" w:hanging="360"/>
      </w:pPr>
    </w:lvl>
    <w:lvl w:ilvl="1" w:tplc="04150013">
      <w:start w:val="1"/>
      <w:numFmt w:val="upperRoman"/>
      <w:lvlText w:val="%2."/>
      <w:lvlJc w:val="righ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" w15:restartNumberingAfterBreak="0">
    <w:nsid w:val="447F79E9"/>
    <w:multiLevelType w:val="hybridMultilevel"/>
    <w:tmpl w:val="E2F2FA5C"/>
    <w:lvl w:ilvl="0" w:tplc="B24EF24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67A8D"/>
    <w:multiLevelType w:val="hybridMultilevel"/>
    <w:tmpl w:val="7472CA1A"/>
    <w:lvl w:ilvl="0" w:tplc="2C2282A2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E44ED"/>
    <w:multiLevelType w:val="hybridMultilevel"/>
    <w:tmpl w:val="D7206030"/>
    <w:lvl w:ilvl="0" w:tplc="04150013">
      <w:start w:val="1"/>
      <w:numFmt w:val="upperRoman"/>
      <w:lvlText w:val="%1."/>
      <w:lvlJc w:val="righ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7EB94EA3"/>
    <w:multiLevelType w:val="hybridMultilevel"/>
    <w:tmpl w:val="7494EF2C"/>
    <w:lvl w:ilvl="0" w:tplc="3000F78E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50309419">
    <w:abstractNumId w:val="3"/>
  </w:num>
  <w:num w:numId="2" w16cid:durableId="344987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874310">
    <w:abstractNumId w:val="0"/>
  </w:num>
  <w:num w:numId="4" w16cid:durableId="1638216331">
    <w:abstractNumId w:val="4"/>
  </w:num>
  <w:num w:numId="5" w16cid:durableId="1400134693">
    <w:abstractNumId w:val="3"/>
  </w:num>
  <w:num w:numId="6" w16cid:durableId="1165320489">
    <w:abstractNumId w:val="6"/>
  </w:num>
  <w:num w:numId="7" w16cid:durableId="1250968953">
    <w:abstractNumId w:val="5"/>
  </w:num>
  <w:num w:numId="8" w16cid:durableId="1102069777">
    <w:abstractNumId w:val="1"/>
  </w:num>
  <w:num w:numId="9" w16cid:durableId="889419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BC"/>
    <w:rsid w:val="00026456"/>
    <w:rsid w:val="000545BC"/>
    <w:rsid w:val="00082B3F"/>
    <w:rsid w:val="000E0B0F"/>
    <w:rsid w:val="00227A0B"/>
    <w:rsid w:val="002D3BF9"/>
    <w:rsid w:val="00320608"/>
    <w:rsid w:val="003562D7"/>
    <w:rsid w:val="0039099A"/>
    <w:rsid w:val="00413D2F"/>
    <w:rsid w:val="00434D35"/>
    <w:rsid w:val="004741B3"/>
    <w:rsid w:val="00536131"/>
    <w:rsid w:val="0054445C"/>
    <w:rsid w:val="006266D8"/>
    <w:rsid w:val="00695122"/>
    <w:rsid w:val="00727026"/>
    <w:rsid w:val="007A6027"/>
    <w:rsid w:val="007A7E5F"/>
    <w:rsid w:val="007E4F76"/>
    <w:rsid w:val="007E5F32"/>
    <w:rsid w:val="0080345E"/>
    <w:rsid w:val="0085156D"/>
    <w:rsid w:val="00861DE4"/>
    <w:rsid w:val="009F2226"/>
    <w:rsid w:val="00A928DB"/>
    <w:rsid w:val="00B6443B"/>
    <w:rsid w:val="00B77D51"/>
    <w:rsid w:val="00BA0ECE"/>
    <w:rsid w:val="00BA5882"/>
    <w:rsid w:val="00C423A1"/>
    <w:rsid w:val="00C73FE8"/>
    <w:rsid w:val="00CE11CA"/>
    <w:rsid w:val="00CF5A30"/>
    <w:rsid w:val="00D160CB"/>
    <w:rsid w:val="00DC3385"/>
    <w:rsid w:val="00EB2A61"/>
    <w:rsid w:val="00EE10A1"/>
    <w:rsid w:val="00F6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8D6E"/>
  <w15:chartTrackingRefBased/>
  <w15:docId w15:val="{E2C171C9-5D6B-43D3-B397-3A81211F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5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5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5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5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5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5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5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5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5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5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jnykaza</dc:creator>
  <cp:keywords/>
  <dc:description/>
  <cp:lastModifiedBy>Magdalena Mieczyńska</cp:lastModifiedBy>
  <cp:revision>14</cp:revision>
  <dcterms:created xsi:type="dcterms:W3CDTF">2026-03-11T10:35:00Z</dcterms:created>
  <dcterms:modified xsi:type="dcterms:W3CDTF">2026-03-27T10:02:00Z</dcterms:modified>
</cp:coreProperties>
</file>